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2022年贵州医科大学附属医院公开招聘事业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编制人员笔试考前14天每日健康打卡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姓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准考证号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手机号码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座位号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本人郑重承诺：为配合做好202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年贵州医科大学附属医院公开招聘事业编制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工作人员</w:t>
      </w:r>
      <w:r>
        <w:rPr>
          <w:rFonts w:hint="eastAsia" w:ascii="宋体" w:hAnsi="宋体" w:eastAsia="宋体" w:cs="宋体"/>
          <w:sz w:val="24"/>
          <w:szCs w:val="24"/>
        </w:rPr>
        <w:t>考试新冠疫情防控工作，将严格遵守考试组织部门的防疫要求和相关规定，填写的以下信息真实、准确，如有不实，自愿承担由此造成的相关后果和法律责任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tbl>
      <w:tblPr>
        <w:tblStyle w:val="3"/>
        <w:tblW w:w="9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832"/>
        <w:gridCol w:w="1832"/>
        <w:gridCol w:w="1832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是否有发热等异常症状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测量体温记录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考前14天是否前往过新冠肺炎中高风险地区</w:t>
            </w:r>
          </w:p>
        </w:tc>
        <w:tc>
          <w:tcPr>
            <w:tcW w:w="5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中高风险地区名称：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说明：此表由考生如实填写，并在考试前用A4纸打印好，于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日考试入场时交考点工作人员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，时间从考前14天开始填写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ind w:firstLine="5040" w:firstLineChars="2100"/>
        <w:jc w:val="both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考生签名：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rPr>
          <w:rFonts w:hint="eastAsi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</w:t>
      </w:r>
    </w:p>
    <w:p/>
    <w:sectPr>
      <w:pgSz w:w="11906" w:h="16838"/>
      <w:pgMar w:top="986" w:right="1293" w:bottom="986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ZTBmM2UwNmI3MTk2ZTI4MjcwMDVkZTYxYjQyOGQifQ=="/>
  </w:docVars>
  <w:rsids>
    <w:rsidRoot w:val="00000000"/>
    <w:rsid w:val="3C4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2022-06-13T07:10:07Z</dcterms:created>
  <dc:creator>zflyx</dc:creator>
  <cp:lastModifiedBy>疏烟淡影</cp:lastModifiedBy>
  <dcterms:modified xsi:type="dcterms:W3CDTF">2022-06-13T07:10:14Z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FD651A8F1D8544269DA92E96C6538E02</vt:lpwstr>
  </property>
</Properties>
</file>