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水量平衡测试及节水载体建设项目报价函</w:t>
      </w:r>
    </w:p>
    <w:tbl>
      <w:tblPr>
        <w:tblStyle w:val="6"/>
        <w:tblW w:w="127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4"/>
        <w:gridCol w:w="1260"/>
        <w:gridCol w:w="5988"/>
        <w:gridCol w:w="744"/>
        <w:gridCol w:w="1359"/>
        <w:gridCol w:w="1359"/>
        <w:gridCol w:w="1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5"/>
                <w:sz w:val="24"/>
                <w:szCs w:val="24"/>
              </w:rPr>
              <w:t>工作内容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  <w:lang w:val="en-US" w:eastAsia="zh-CN"/>
              </w:rPr>
              <w:t>合价（元）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数据采集</w:t>
            </w: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智能远传水表（下列参数仅为参考）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通过NB/GPRS等无线方式推送至服务器并识别与处理。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供电方式：电池供电。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电池使用年限：&gt;6年。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待机电流&lt;1uA。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环境温度：-30℃~85℃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防水等级：IP68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图片格式：JPG</w:t>
            </w:r>
          </w:p>
          <w:p>
            <w:pPr>
              <w:spacing w:line="240" w:lineRule="atLeas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pacing w:val="4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7.无线通讯模式:NB/CAT1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26套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13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安装智能漏损压力监测终端（下列参数仅为参考）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供电方式：DC7.2V 锂亚电池供电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监测量程：默认 0-2.0Mpa（可选）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监测精度：±0.5%（最大量程）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待机功率：0.07mW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工作功率：70mW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峰值功率：2W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无线通信方式：4G/NB-IOT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传输方式：TCP/LwM2M/MQTT；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显示方式：LCD 液晶显示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理论电池寿命：2 年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工作温度：-20℃～﹢60℃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管径螺纹：默认 M20*1.5（可定制）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采样速率：默认 15 分钟定时采集（可设定）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9" w:leftChars="228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上传速率：默认 24 小时定时上传（可设定），变化率超过设定阈值及时上传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9" w:leftChars="228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水压变化率：默认 99%（当管网压力值发送变化超过设定百分比时及时上传）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告警方式：低压力告警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2套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在线监测平台</w:t>
            </w: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（下列参数仅为参考）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1.数据采集终端通过无线或有线网络将数据传输至中央服务器。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2.中央服务器运行在线监测平台软件，进行数据处理和展示。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3.分析用水数据，进行在线水平衡，生成用水报表和图表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4.供水管网漏损检测定位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5.供水管网远程监控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6.节水量实施监测预警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7.供水管网监数据采集接口使用C#开发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8运行后实时监听网络数据柜上报来的数据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9压力等数据。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一、权限管理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权限管理板块内有用户管理、部门管理、角色管理三个子功能。用于控制用户所能管理的各个项目权限。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用户管理：管理用户信息，对用户名、密码、所属部门、使用状态、角色配置等进行新增、删除、修改、查询处理。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部门管理：管理部门信息，对部门上下级归属、720云链接、用水人数等进行新增、删除、修改处理。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角色管理：管理角色信息，对用户角色菜单授权等进行新增、删除、修改、查找处理。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二、系统设置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系统设置板块内有菜单管理、参数管理、字典管理、定时任务、文件上传等五个子功能。用于控制系统各项菜单、参数、字典、定时任务的配置。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菜单管理：管理系统菜单，对菜单名称、图标、类型、排序、路由、授权标识等进行新增、删除、修改处理。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参数管理：管理系统所要用的参数，对参数编码、值等进行新增、删除、修改处理。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字典管理：管理系统中要用的参数，对参数编码、值等进行新增、删除、修改、查询处理。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定时任务：管理系统执行的任务，对代码bean名称、参数、cron表达式、状态等进行新增、删除、修改、查询处理。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文件上传：管理系统云存储配置及文件，对云存储域名、路径、密钥、空间名等进行新增、删除、修改处理。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三、日志管理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日志管理板块内有登录日志、操作日志、异常日志三个子功能。记录用户各项操作，监控用户对平台的使用。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登录日志：记录登录系统的用户名称、时间状态、IP地址等；对相关信息查询、导出处理。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操作日志：记录用户在系统中哪一刻时间、进行了哪些操作；请求路径、请求方式、请求参数、请求时长；请求是否成功等；对相关信息查询、导出处理。。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异常日志：详细记录系统中运行时产生的异常错误，请求路径、请求方式、请求参数、操作的ip地址；对相关信息导出处理。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四、系统监控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系统监控板块内有SQL监控、接口文档两个子功能。用于监控系统的数据库连接、管理本系统与其他系统连接的相关接口。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SQL监控：监控本系统连接数据库的配置、记录日志等。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接口文档：提供本系统对外的在线接口文档，包含请求参数、请求路径、响应状态、响应参数、响应示例、在线调试工具等。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五、设备管理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设备管理板块内智能漏损定位终端、有设备类型、设备信息表三个子功能。用于管理设备相关信息。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智能漏损定位终端：管理压力监测设备，展示安装的压力点位的相关信息，对安装地点进行查询、修改等操作。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设备类型：管理设备的类型，对设备类型标识、设备类型名称、API-KEY、产品ID号等进行新增、删除、修改、查询、导出文档处理。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设备信息表：管理设备的详细信息，对设备的注册、IMEI、设备类型、所属区域、设备名称、设备地址、口径、在线状态等进行新增、删除、修改、查询、导出文档处理。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六、数据查询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数据查询板块内有实时数据表、历史数据、历史数据表三个子功能。用于管理设备相关信息。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实时数据表：查询、导出设备实时用量记录，设置用量警戒值。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历史数据：查询、导出所有设备历史用量记录。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历史数据表：查询、导出单个设备历史用量记录。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七、全景地图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全景地图板块内展示当前项目全景地图信息。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八、可视化数据大屏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可视化数据大屏板块内展示当前项目水平衡信息、七日水平衡信息、人均用水量、用水终端用水量预警、总供水量、用水终端用水量排行等。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8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完成水量平衡测试</w:t>
            </w: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前期调查：收集单位基本资料；调查取水水源情况；调查水表配备型号、规格、精度进行归档；抽查测试末端器具并分类统计归档；绘制水流程图；绘制测点示意图；开展静态测试；完成《测试单位基础资料汇编》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《测试单位测试方案》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协助医院完善用水相关制度及应急预案等制度文件。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  <w:t>1项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在水务局成功备案回执，完整资料（图纸、制度台账、水量平衡测试报告）移交院方保存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现场测试：在规定时间内开展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为期8天的连续水量平衡测试，预估测试人员需要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需要专业水平衡测试公司及拥有专业水平衡测试人员资质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  <w:t>1项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59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数据分析：分析测试数据，核查单位水平衡差，对用水数据和用水参数进行汇总，完成水量平衡测试表和水量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4"/>
                <w:szCs w:val="24"/>
              </w:rPr>
              <w:t>平衡图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  <w:t>1项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9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编写报告：汇总单位基本资料、测试数据、各类图表等，对单位的用水合理性作出评价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</w:rPr>
              <w:t>，根据《水平衡测试通则》对单位合理用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水水平考核进行打分，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具有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水平衡测试单位出具《水量平衡测试报告》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  <w:t>1项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节水宣传</w:t>
            </w: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sz w:val="24"/>
                <w:szCs w:val="24"/>
              </w:rPr>
              <w:t>编制节水宣传册并印发。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  <w:t>1项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宣传册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0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开展节水宣传主题活动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（含海报等宣传标语）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4"/>
                <w:szCs w:val="24"/>
              </w:rPr>
              <w:t>1场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海报≥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张、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标语横幅≥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条，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活动记录（资料、签到、照片、视频）移交院方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3" w:hRule="atLeast"/>
          <w:jc w:val="center"/>
        </w:trPr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</w:rPr>
              <w:t>评审验收</w:t>
            </w: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根据评分标准收集相关佐证材料并形成《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贵州医科大学附属医院节水型单位申报报告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</w:rPr>
              <w:t>》，协助医院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节水载体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申报工作以及水平衡测试验收。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  <w:t>1项</w:t>
            </w: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  <w:t>以成功创建节水单位作为验收标准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position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59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</w:p>
        </w:tc>
        <w:tc>
          <w:tcPr>
            <w:tcW w:w="135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86" w:hRule="atLeast"/>
          <w:jc w:val="center"/>
        </w:trPr>
        <w:tc>
          <w:tcPr>
            <w:tcW w:w="1279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备注：1.以上费用包含人工、材料、机械、税金、专家评审等为完成本项目所包含的全部费用。</w:t>
            </w:r>
          </w:p>
          <w:p>
            <w:pPr>
              <w:spacing w:line="240" w:lineRule="atLeast"/>
              <w:rPr>
                <w:rFonts w:hint="default" w:ascii="仿宋" w:hAnsi="仿宋" w:eastAsia="仿宋" w:cs="仿宋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 xml:space="preserve">      2.若为评审还需完善的相关工作费用可以自行增加项目，若未增加则认可上述项目已包含全部费用。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75589"/>
    <w:multiLevelType w:val="singleLevel"/>
    <w:tmpl w:val="EF97558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Yzk1ZTI4N2JmNjk3NGMxMjM3NTQwZmY0ZTg2ODQifQ=="/>
  </w:docVars>
  <w:rsids>
    <w:rsidRoot w:val="6A5807A5"/>
    <w:rsid w:val="0316204F"/>
    <w:rsid w:val="11825B35"/>
    <w:rsid w:val="19014770"/>
    <w:rsid w:val="27381AA5"/>
    <w:rsid w:val="2C58720F"/>
    <w:rsid w:val="341B25CE"/>
    <w:rsid w:val="35C40299"/>
    <w:rsid w:val="42925339"/>
    <w:rsid w:val="513D76E3"/>
    <w:rsid w:val="54713A38"/>
    <w:rsid w:val="550A62B3"/>
    <w:rsid w:val="586566FA"/>
    <w:rsid w:val="6A5807A5"/>
    <w:rsid w:val="729E4920"/>
    <w:rsid w:val="772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6020</Words>
  <Characters>6352</Characters>
  <Lines>0</Lines>
  <Paragraphs>0</Paragraphs>
  <TotalTime>6</TotalTime>
  <ScaleCrop>false</ScaleCrop>
  <LinksUpToDate>false</LinksUpToDate>
  <CharactersWithSpaces>6414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2021-08-25T05:37:00Z</dcterms:created>
  <dc:creator>Vermouth</dc:creator>
  <cp:lastModifiedBy>Lx婧</cp:lastModifiedBy>
  <dcterms:modified xsi:type="dcterms:W3CDTF">2024-07-08T08:28:39Z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B8FF45EA7B4F4F2AB3337E75884BFFD0</vt:lpwstr>
  </property>
</Properties>
</file>