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82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top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贵州医科大学附属医院零星综合布线（2026）工程项目询价清单</w:t>
      </w:r>
    </w:p>
    <w:p w14:paraId="714A54E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ACF2B5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top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主材清单:</w:t>
      </w:r>
    </w:p>
    <w:p w14:paraId="51D4CF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lang w:val="en-US" w:eastAsia="zh-CN"/>
        </w:rPr>
        <w:t>零星综合布线工程结算价款依据（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lang w:val="en-US" w:eastAsia="zh-CN"/>
        </w:rPr>
        <w:t>含税）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《贵州省通用安装工程计价定额》（2016版）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”文件发布的定额及其配套文件。 其中主要材料费按以下清单中各产品进行计取，现需对以下清单产品进行报价。</w:t>
      </w:r>
    </w:p>
    <w:tbl>
      <w:tblPr>
        <w:tblStyle w:val="3"/>
        <w:tblW w:w="9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28"/>
        <w:gridCol w:w="578"/>
        <w:gridCol w:w="4671"/>
        <w:gridCol w:w="643"/>
        <w:gridCol w:w="643"/>
      </w:tblGrid>
      <w:tr w14:paraId="6F32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03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524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01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CF8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0E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5C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 w14:paraId="01A0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0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1、电缆对数：4对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2、导体材料：无氧铜（纯度99.99%）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3、导体线规：23AWG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4、导体直径：0.57±0.02mm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5、绝缘材料HDPF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6、绝缘外径：1.02±0.03mm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7、护套材料：PVC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8、护套外径：6.3±0.3mm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9、规格：305米/箱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C8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94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C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单口面板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1、86型网络/电话面板，单口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2、ABS材料注塑成形，阻燃，抗压，耐高温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3、带防尘保护门，自动回弹设计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4、面板表面采用不可见螺钉孔设计，美观大方，扣位式面板设计可防止施工时污染面板，面板设计线条流程、棱角清晰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5、自带可更换式标签，方便管理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2A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68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1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双口面板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1、86型网络/电话面板，双口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2、ABS材料注塑成形，阻燃，抗压，耐高温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3、带防尘保护门，自动回弹设计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4、面板表面采用不可见螺钉孔设计，美观大方，扣位式面板设计可防止施工时污染面板，面板设计线条流程、棱角清晰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5、自带可更换式标签，方便管理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1D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5A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7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六类数据模块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磷青铜打线夹子，适用于22-26AWG线规，模块上印有568A/568B打线色标，端接大于250次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08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FD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B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9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86型网络底盒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B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1、尺寸：高度86×宽度86mm×深度55mm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2、安装方便，坚固耐用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3、颜色：白色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4、材料：ABS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60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40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0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六类非屏蔽配线架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1、19英寸宽度，1U高度标准尺寸，适用于19英寸标准机柜使用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2、磷青铜打线夹子，适用于22-26AWG线规，模块上印有568A/568B打线色标，端接大于250次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3、镀金接触针，采用高低针设计，拔插大于750次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4、后端自带线缆管理单元，采用双爪式免工具设计，便于安装和拆卸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5、配线架的每端口对应一个可写标识区域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93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C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D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理线架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4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1、标准19英寸机架式安装，高度：1U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2、提供24档理线档位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3、材质：SPCC冷轧钢板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4、线槽圆角设计，双绞链盖板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5、带有贯穿孔，便于前后走线和冗余线缆的存放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6、颜色：黑色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C1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CC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6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网络机柜（6U）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1、尺寸：高度350mm*宽度600mm*深度600mm，立柱孔距：465mm（标准19英寸）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2、材质：SPCC优质冷轧钢板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3、柜门：钢化玻璃前门，可拆卸侧门，网状双开后门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4、配件：6口PDU*1，托盘*1，脚轮*4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5、颜色：黑色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8B9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03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7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网络机柜（12U）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9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1、尺寸：高度600mm*宽度600mm*深度600mm，立柱孔距：465mm（标准19英寸）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2、材质：SPCC优质冷轧钢板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3、柜门：钢化玻璃前门，可拆卸侧门，网状双开后门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4、配件：6口PDU*1，托盘*1，脚轮*4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5、颜色：黑色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CE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93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0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1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网络机柜（22U）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1、尺寸：高度1200mm*宽度600mm*深度600mm，立柱孔距：465mm（标准19英寸）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2、材质：SPCC优质冷轧钢板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3、柜门：钢化玻璃前门，可拆卸侧门，网状双开后门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4、配件：6口PDU*1，托盘*1，脚轮*4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5、颜色：黑色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3E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78E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网络机柜（42U）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1、尺寸：高度2000mm*宽度600mm*深度600mm，立柱孔距：465mm（标准19英寸）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2、材质：SPCC优质冷轧钢板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3、柜门：钢化玻璃前门，可拆卸侧门，网状双开后门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4、配件：6口PDU*1，托盘*1，脚轮*4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5、颜色：黑色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B38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84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8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1米LC光纤单模跳线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1、类型：电信级光纤跳线，LC-LC，单模双芯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4、颜色：黄色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7、长度：1米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ED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51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D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2米LC光纤单模跳线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3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1、类型：电信级光纤跳线，LC-LC，单模双芯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4、颜色：黄色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7、长度：2米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4B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B9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D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3米LC光纤单模跳线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1、类型：电信级光纤跳线，LC-LC，单模双芯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4、颜色：黄色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7、长度：3米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72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3D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A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8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5米LC光纤单模跳线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E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1、类型：电信级光纤跳线，LC-LC，单模双芯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4、颜色：黄色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7、长度：5米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D4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39E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F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10米LC光纤单模跳线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1、类型：电信级光纤跳线，LC-LC，单模双芯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4、颜色：黄色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7、长度：10米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40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27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3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室外12芯单模光缆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4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1、全截面阻水结构，松套管填充纤膏，缆芯缝隙填充缆膏，确保良好的阻水防潮性能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2、松套管采用全色谱方式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3、护套：钢-聚乙烯粘结护套，MDPE，黑色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4、允许拉伸力：长期：600N，短期：1500N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5、允许压扁力：长期：300N/100mm，短期：1000N/100mm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6、最小弯曲半径：动态：20D，静态：10D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7、工作温度：-40℃～+60℃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8、芯数规格：单模12芯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20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70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C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室外24芯单模光缆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E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1、全截面阻水结构，松套管填充纤膏，缆芯缝隙填充缆膏，确保良好的阻水防潮性能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2、松套管采用全色谱方式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3、护套：钢-聚乙烯粘结护套，MDPE，黑色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4、允许拉伸力：长期：600N，短期：1500N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5、允许压扁力：长期：300N/100mm，短期：1000N/100mm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6、最小弯曲半径：动态：20D，静态：10D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7、工作温度：-40℃～+60℃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8、芯数规格：单模24芯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A3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5E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7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0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室外48芯单模光缆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1、全截面阻水结构，松套管填充纤膏，缆芯缝隙填充缆膏，确保良好的阻水防潮性能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2、松套管采用全色谱方式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3、护套：钢-聚乙烯粘结护套，MDPE，黑色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4、允许拉伸力：长期：600N，短期：1500N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5、允许压扁力：长期：300N/100mm，短期：1000N/100mm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6、最小弯曲半径：动态：20D，静态：10D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7、工作温度：-40℃～+60℃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8、芯数规格：单模48芯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5B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59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5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4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室外96芯单模光缆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B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1、全截面阻水结构，松套管填充纤膏，缆芯缝隙填充缆膏，确保良好的阻水防潮性能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2、松套管采用全色谱方式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3、护套：钢-聚乙烯粘结护套，MDPE，黑色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4、允许拉伸力：长期：600N，短期：1500N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5、允许压扁力：长期：300N/100mm，短期：1000N/100mm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6、最小弯曲半径：动态：20D，静态：10D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7、工作温度：-40℃～+60℃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8、芯数规格：单模96芯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10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B8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D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室外144芯单模光缆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A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E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1、全截面阻水结构，松套管填充纤膏，缆芯缝隙填充缆膏，确保良好的阻水防潮性能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2、松套管采用全色谱方式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3、护套：钢-聚乙烯粘结护套，MDPE，黑色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4、允许拉伸力：长期：600N，短期：1500N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5、允许压扁力：长期：300N/100mm，短期：1000N/100mm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6、最小弯曲半径：动态：20D，静态：10D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7、工作温度：-40℃～+60℃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8、芯数规格：单模144芯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80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A0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9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2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室内12芯单模光缆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B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1、光纤种类：单模G.652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2、光纤芯数：12芯数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3、护套材料：低烟无卤阻燃聚烯径（LSZH）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4、加强件：芳纶纤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5、允许拉伸力：长期200N，短期660N，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6、允许压扁力：长期200/100mm，短期1000N/100mm；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7、最小弯曲半径：动态20D，静态10D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8、工作温度温度范围-20℃～60℃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98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B5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A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6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光纤适配器（LC）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3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1、材料：氧化锆陶瓷套管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2、插入损耗（含重复性）：&lt;=0.2dB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3、重复性：&gt;=500次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4、互换性：&lt;=0.2dB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5、工作温度：-20℃～60℃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48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BC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B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光纤配线架12芯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0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1、安装方式： 19英寸机架式安装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 个光纤熔接盘，4 个光缆进线口，4 个固定PG头， 4 个光缆护套固定装置，4 个光缆加强件固定装置。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3、通用型设计，可兼容LC双工、SC单工、FC、ST适配器，一个4口支架仅需一颗螺丝，便于安装和拆卸。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4、进出光纤方便灵活，有充裕的光纤盘存空间，光纤和尾纤弯曲半径不小于30mm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5、端口数量：24口，空域端口可安装空白功能键，安装LC双工、SC单工耦合器时安装支架的空隙可安装封堵功能件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6、表面处理：静电喷塑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7、材料：优质冷扎钢版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8、表面颜色：黑色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9、产品尺寸：宽度：482.6*深度：220*高度：44mm（高度1U）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55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3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1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7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光纤配线架24芯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1、安装方式： 19英寸机架式安装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 个光纤熔接盘，4 个光缆进线口，4 个固定PG头， 4 个光缆护套固定装置，4 个光缆加强件固定装置。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3、通用型设计，可兼容LC双工、SC单工、FC、ST适配器，一个4口支架仅需一颗螺丝，便于安装和拆卸。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4、进出光纤方便灵活，有充裕的光纤盘存空间，光纤和尾纤弯曲半径不小于30mm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5、端口数量：24口，空域端口可安装空白功能键，安装LC双工、SC单工耦合器时安装支架的空隙可安装封堵功能件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6、表面处理：静电喷塑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7、材料：优质冷扎钢版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8、表面颜色：黑色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9、产品尺寸：宽度：482.6*深度：220*高度：44mm（高度1U）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C6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B9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7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光纤配线架48芯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9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1、安装方式： 19英寸机架式安装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 个光纤熔接盘，4 个光缆进线口，4 个固定PG头， 4 个光缆护套固定装置，4 个光缆加强件固定装置。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3、通用型设计，可兼容LC双工、SC单工、FC、ST适配器，一个4口支架仅需一颗螺丝，便于安装和拆卸。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4、进出光纤方便灵活，有充裕的光纤盘存空间，光纤和尾纤弯曲半径不小于30mm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5、端口数量：24口，空域端口可安装空白功能键，安装LC双工、SC单工耦合器时安装支架的空隙可安装封堵功能件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6、表面处理：静电喷塑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7、材料：优质冷扎钢版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8、表面颜色：黑色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9、产品尺寸：宽度：482.6*深度：220*高度：44mm（高度1U）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C5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7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6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24*14，国标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CD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5A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2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3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C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39*19，国标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C6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9D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3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59*22，国标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2FB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1E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0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100*40,国标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65B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5F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9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1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φ20，国标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0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85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6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φ25，国标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1D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D29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C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PVC塑料线管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7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φ35，国标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E9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67B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2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塑料钢钉卡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9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φ20，国标20只/盒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62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C1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1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塑料钢钉卡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7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φ25，国标20只/盒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B6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2D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5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PVC塑料管卡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φ20，国标20只/盒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DF0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65C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A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0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PVC塑料管卡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B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φ25，国标20只/盒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50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45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5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PVC塑料管卡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6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φ32，国标20只/盒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ED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68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6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直流电源分配单元DCDU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直流48V电源，9位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32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B4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7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金属线槽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150*300*1.2，定制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FB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AC6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6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7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金属线槽弯头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150*300*1.2，定制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0F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37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A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金属线槽三通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150*300*1.2，定制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18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5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9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地插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7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1、铜质外壳，一体化设计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2、双层防水密封圈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3、阻尼缓弹开启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4、可自由更换网络模块、语言模块、音视频模块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5、含暗盒底座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8A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3B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4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线扣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150*(400条/包）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60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DC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7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VGA数据电缆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15米/条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2F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49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F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HDMI数据电缆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7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15米/条，支持4K/30Hz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6E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67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B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铝合金走线架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2、铝合金材料屈服强度：≧153N，承重量：≧额定负荷200KG/M；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3、走线架选用正规企业生产，符合国家标准的紧固件，紧固架所有材料及零部件、紧固件需检验合格；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98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2E9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9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铝合金走线架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2、铝合金材料屈服强度：≧153N，承重量：≧额定负荷200KG/M；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3、走线架选用正规企业生产，符合国家标准的紧固件，紧固架所有材料及零部件、紧固件需检验合格；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75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AB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4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B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万兆单模模块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C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8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万兆单模模块 波长1310nm 距离10KM LC接口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A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0B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A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F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千兆单模模块 波长1310nm 距离10KM LC接口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2B3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42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7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3米LC OM4多模跳线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1、类型：电信级光纤跳线，LC-LC，多模双芯，OM4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4、支持40G以上光模块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7、长度：3米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F4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AA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A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5米LC OM4多模跳线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1、类型：电信级光纤跳线，LC-LC，多模双芯，OM4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4、支持40G以上光模块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7、长度：5米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D6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F1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3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10米LC OM4多模跳线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C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1、类型：电信级光纤跳线，LC-LC，多模双芯，OM4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2、双芯带双工夹，双工夹带有A、B极性标识，双工夹采用易拆卸设计，方便拆卸以及转换极性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3、插芯：高质量陶瓷插芯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4、支持40G以上光模块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5、插入损耗：≤0.2dB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6、工作温度：-20℃~+60℃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7、长度：10米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DB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E5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2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6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8位PDU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C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6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1、输入L+N+PE，国标10A插头；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2、额定值：10A 250V 2500W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3、8位10A新国标五孔插座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4、黑色，塑料壳，带总开关和过载保护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7B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F3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B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24位PDU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5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1、输入：L+N+PE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2、额定值：32A 250V AC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3、输出：20位10A，4位16A国标三孔插座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4、带开关，防雷，接线盒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90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AF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5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电话专用水晶头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6P2C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23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FC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6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8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圆8-1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E4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BF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D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电话专用水晶头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2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4P4C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5F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11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2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朔胶线（室外）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C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二芯电话线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87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F52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9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二芯电话连接线（室内）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C885BG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2C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1E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B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面板底盒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T013A双口面板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92D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7B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3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六类非屏蔽水晶头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A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57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1E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0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D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六类屏蔽水晶头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48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818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10A49F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338756D5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top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弱电井整改</w:t>
      </w:r>
    </w:p>
    <w:p w14:paraId="2161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全院机房、弱电井及挂柜整改项目报价说明</w:t>
      </w:r>
    </w:p>
    <w:p w14:paraId="3E094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1、报价范围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：本次报价全面覆盖全院范围内所有机房、弱电井及挂柜的整改工作，包括但不限于设备规整、线路梳理、环境优化等相关整改内容。</w:t>
      </w:r>
    </w:p>
    <w:p w14:paraId="05455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2、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踏勘与核算：为确保报价精准性，报价人可前往项目现场进行实地踏勘，详细了解机房、弱电井、挂柜的实际布局、现有设备状况、整改难度等信息，结合踏勘结果核算具体价格。</w:t>
      </w:r>
    </w:p>
    <w:p w14:paraId="5CF3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3、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费用包含：“总价包干”形式，涵盖整改过程中涉及的全部费用，具体如下：</w:t>
      </w:r>
    </w:p>
    <w:p w14:paraId="7A737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①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主材费用：整改所需的核心设备、关键材料（如线缆、机柜、防护装置、网络配件等）采购成本。</w:t>
      </w:r>
    </w:p>
    <w:p w14:paraId="437B4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②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人工费用：现场施工人员、技术指导人员、安全监督人员等相关人员的薪酬及补贴。</w:t>
      </w:r>
    </w:p>
    <w:p w14:paraId="5EF12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③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辅材费用：整改过程中使用的辅助材料（如螺丝、扎带、绝缘胶带、标签纸、清洁耗材等）费用。</w:t>
      </w:r>
    </w:p>
    <w:p w14:paraId="2DE6A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④产品的税费、运输费、装卸费、包装费等所有费用。</w:t>
      </w:r>
    </w:p>
    <w:p w14:paraId="2FAF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4、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结算方式：项目实施过程中，若无特殊约定的变更需求，将严格按照本次报价的总价进行结算，不再额外增加其他费用。</w:t>
      </w:r>
    </w:p>
    <w:p w14:paraId="1B15F2C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E6D8E9-EE01-4CF1-8C52-D8CAFEBC23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EB2CCE-4A0A-41DC-8959-612E8994148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1FE64"/>
    <w:multiLevelType w:val="singleLevel"/>
    <w:tmpl w:val="AE11F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188BE1"/>
    <w:multiLevelType w:val="singleLevel"/>
    <w:tmpl w:val="27188B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55B0"/>
    <w:rsid w:val="40EB7ECD"/>
    <w:rsid w:val="47CC7A22"/>
    <w:rsid w:val="5F402A0C"/>
    <w:rsid w:val="657B47EA"/>
    <w:rsid w:val="6D2014C0"/>
    <w:rsid w:val="758774FE"/>
    <w:rsid w:val="7C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4994</Words>
  <Characters>5958</Characters>
  <Lines>0</Lines>
  <Paragraphs>0</Paragraphs>
  <TotalTime>0</TotalTime>
  <ScaleCrop>false</ScaleCrop>
  <LinksUpToDate>false</LinksUpToDate>
  <CharactersWithSpaces>5994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2025-09-01T01:57:00Z</dcterms:created>
  <dc:creator>Administrator</dc:creator>
  <cp:lastModifiedBy>金杨</cp:lastModifiedBy>
  <dcterms:modified xsi:type="dcterms:W3CDTF">2025-09-12T08:10:32Z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96E3606462D34D21AFC003A52D7F71BB_13</vt:lpwstr>
  </property>
</Properties>
</file>